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534</w:t>
      </w:r>
    </w:p>
    <w:p>
      <w:r>
        <w:t>Bundesgericht (BGE), 2001-07-20, FR</w:t>
      </w:r>
    </w:p>
    <w:p>
      <w:r>
        <w:rPr>
          <w:b/>
        </w:rPr>
        <w:t xml:space="preserve">Quelle: </w:t>
      </w:r>
      <w:r>
        <w:t>https://mcp.opencaselaw.ch/entscheid/bge_127 III 534</w:t>
      </w:r>
    </w:p>
    <w:p>
      <w:r>
        <w:t>FR: ATF 127 III 534</w:t>
      </w:r>
    </w:p>
    <w:p>
      <w:r>
        <w:t>IT: DTF 127 III 534</w:t>
      </w:r>
    </w:p>
    <w:p>
      <w:pPr>
        <w:pStyle w:val="Heading2"/>
      </w:pPr>
      <w:r>
        <w:t>Regeste</w:t>
      </w:r>
    </w:p>
    <w:p>
      <w:r>
        <w:t>Regeste Wichtige Gründe zur Abberufung der Verwaltung einer Stockwerkeigentümergemeinschaft (Art. 712r Abs. 2 ZGB). Wichtige Gründe, um die Verwaltung im Sinne von Art. 712r ZGB abzuberufen, sind gegeben, wenn diese ihre Treuepflicht in schwerwiegender Weise verletzt. Die abstrakte Gefahr einer möglichen Verletzung dieser Pflicht stellt für sich allein keinen wichtigen Abberufungsgrund dar (E. 3).</w:t>
      </w:r>
    </w:p>
    <w:p>
      <w:pPr>
        <w:pStyle w:val="Heading2"/>
      </w:pPr>
      <w:r>
        <w:t>Erwägungen</w:t>
      </w:r>
    </w:p>
    <w:p>
      <w:r>
        <w:rPr>
          <w:b/>
        </w:rPr>
        <w:t>E. 3</w:t>
      </w:r>
    </w:p>
    <w:p>
      <w:r>
        <w:t>a) L' art. 712r CC prévoit que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La notion de justes motifs au sens de l' art. 712r al. 2 CC s'interprète selon l' art. 4 CC . Cela signifie que le juge doit prendre en compte toutes les circonstances du cas d'espèce. Il y a justes motifs lorsque le maintien de l'administrateur ne peut pas être exigé parce que les relations de confiance sont détruites ( ATF 126 III 177 consid. 2a), ainsi lorsque l'administrateur viole gravement son devoir de fidélité (MEIER-HAYOZ/REY, Commentaire bernois, n. 18 s. ad art. 712r CC ). Un juste motif de révocation existe, plus précisément, lorsque l'administrateur ne remplit pas ses tâches, gère de manière négligente les fonds qui lui sont confiés, passe outre aux décisions de l'assemblée des copropriétaires, chicane ou invective ces derniers, délègue ses tâches indûment à des tiers ou se comporte de manière contraire à l'honneur (MEIER-HAYOZ/REY, loc. cit., n. 19 ad art. 712r CC ). Il ne peut s'agir que de motifs qui, selon les règles de la bonne foi, ne permettent plus d'exiger d'un ou de tous les copropriétaires de faire administrer la copropriété par l'administrateur contesté. En revanche, de légères violations des devoirs de l'administrateur ne sauraient constituer des justes motifs de révocation (BÖSCH, Commentaire bâlois, n. 5 ad art. 712r CC ). b) Le Code civil ne contient pas de règles d'incompatibilité concernant l'administrateur de la PPE. Par ailleurs, il ne ressort pas de l'arrêt attaqué que le règlement d'administration et d'utilisation de la PPE "X." ou le contrat d'administration la concernant prévoient de telles règles. De ce point de vue, B. SA était et reste donc éligible comme administratrice de la PPE en cause. La situation présente est d'ailleurs comparable à celle, courante, où le promoteur ou le constructeur se fait désigner aussi comme administrateur, solution qui n'implique pas que des risques, mais également des avantages certains. c) Lorsque, comme dans la présente affaire, l'unique administratrice et le directeur de la société administratrice de la PPE poursuivent au sein d'autres sociétés des intérêts opposés à ceux de la communauté des co-propriétaires, il y a sans doute un risque accru BGE 127 III 534 S. 537 que la société administratrice n'observe pas scrupuleusement son devoir de fidélité envers la PPE. Toutefois, ce risque abstrait d'une éventuelle violation du devoir de fidélité ne constitue pas, à lui seul, un juste motif de révoquer l'administrateur. C'est pourtant ce seul risque virtuel qu'a retenu en définitive la cour cantonale, après avoir clairement écarté deux des trois motifs concrets de révocation invoqués par les demandeurs. Quant au troisième (changement d'affectation des studios), elle a jugé simplement inopportun le comportement de l'administratrice. Cette dernière a certes failli à ses devoirs en s'abstenant d'intervenir. Il s'agit là toutefois d'un manquement mineur, qui n'a d'ailleurs suscité à l'époque aucune réaction des copropriétaires. Cette légère défaillance ne saurait être considérée, même dans la situation de conflit d'intérêts potentiel évoquée plus haut, comme un juste motif de révocation. La cour cantonale a donc conclu à tort à l'existence, en l'espèce, de justes motifs au sens de l' art. 712r al. 2 CC ; partant, elle a violé le droit fédéral en révoquant l'administratrice.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